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D4" w:rsidRDefault="0046427A" w:rsidP="007039D4">
      <w:pPr>
        <w:jc w:val="center"/>
        <w:rPr>
          <w:b/>
          <w:noProof/>
          <w:color w:val="943634" w:themeColor="accent2" w:themeShade="BF"/>
        </w:rPr>
      </w:pPr>
      <w:r w:rsidRPr="0046427A">
        <w:rPr>
          <w:b/>
          <w:noProof/>
          <w:color w:val="943634" w:themeColor="accent2" w:themeShade="BF"/>
        </w:rPr>
        <w:t>Kids First, Progress and Unity</w:t>
      </w:r>
    </w:p>
    <w:p w:rsidR="00322D86" w:rsidRDefault="00322D86" w:rsidP="007039D4">
      <w:pPr>
        <w:jc w:val="center"/>
        <w:rPr>
          <w:b/>
          <w:noProof/>
          <w:color w:val="943634" w:themeColor="accent2" w:themeShade="BF"/>
        </w:rPr>
      </w:pPr>
    </w:p>
    <w:p w:rsidR="006739B1" w:rsidRDefault="009376F7" w:rsidP="00A008B9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Administrative procedure for Cafeteria Meal Charges and Collection of Debt </w:t>
      </w:r>
    </w:p>
    <w:p w:rsidR="006739B1" w:rsidRDefault="006739B1" w:rsidP="00A008B9">
      <w:pPr>
        <w:spacing w:line="240" w:lineRule="auto"/>
        <w:rPr>
          <w:b/>
          <w:color w:val="943634" w:themeColor="accent2" w:themeShade="BF"/>
        </w:rPr>
      </w:pPr>
    </w:p>
    <w:p w:rsidR="006739B1" w:rsidRDefault="006739B1" w:rsidP="00A008B9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The OASD </w:t>
      </w:r>
      <w:r w:rsidR="009376F7">
        <w:rPr>
          <w:b/>
          <w:color w:val="943634" w:themeColor="accent2" w:themeShade="BF"/>
        </w:rPr>
        <w:t>offers</w:t>
      </w:r>
      <w:r>
        <w:rPr>
          <w:b/>
          <w:color w:val="943634" w:themeColor="accent2" w:themeShade="BF"/>
        </w:rPr>
        <w:t xml:space="preserve"> nutritious meals</w:t>
      </w:r>
      <w:r w:rsidR="009376F7">
        <w:rPr>
          <w:b/>
          <w:color w:val="943634" w:themeColor="accent2" w:themeShade="BF"/>
        </w:rPr>
        <w:t xml:space="preserve"> to all students</w:t>
      </w:r>
      <w:r>
        <w:rPr>
          <w:b/>
          <w:color w:val="943634" w:themeColor="accent2" w:themeShade="BF"/>
        </w:rPr>
        <w:t xml:space="preserve"> </w:t>
      </w:r>
      <w:r w:rsidR="009376F7">
        <w:rPr>
          <w:b/>
          <w:color w:val="943634" w:themeColor="accent2" w:themeShade="BF"/>
        </w:rPr>
        <w:t>in accordance with the National School Lunch Program and National School Breakfast Program</w:t>
      </w:r>
      <w:r>
        <w:rPr>
          <w:b/>
          <w:color w:val="943634" w:themeColor="accent2" w:themeShade="BF"/>
        </w:rPr>
        <w:t>.  The Food Service Department facilitates feeding all students while protecting the school from substantial financial loss due to the non-collection of student debt that has been incurred</w:t>
      </w:r>
      <w:r w:rsidR="009376F7">
        <w:rPr>
          <w:b/>
          <w:color w:val="943634" w:themeColor="accent2" w:themeShade="BF"/>
        </w:rPr>
        <w:t xml:space="preserve"> on cafeteria accounts</w:t>
      </w:r>
      <w:r>
        <w:rPr>
          <w:b/>
          <w:color w:val="943634" w:themeColor="accent2" w:themeShade="BF"/>
        </w:rPr>
        <w:t>.  Parents/Guardians of students are being advised in writing of the OASD policy regarding outstanding balances and charges that are incurred during their school career.</w:t>
      </w:r>
      <w:r w:rsidR="0014215A">
        <w:rPr>
          <w:b/>
          <w:color w:val="943634" w:themeColor="accent2" w:themeShade="BF"/>
        </w:rPr>
        <w:t xml:space="preserve">  In accordance with the </w:t>
      </w:r>
      <w:r w:rsidR="00BB00AB">
        <w:rPr>
          <w:b/>
          <w:color w:val="943634" w:themeColor="accent2" w:themeShade="BF"/>
        </w:rPr>
        <w:t>United States Department of Agriculture,</w:t>
      </w:r>
      <w:r w:rsidR="0014215A">
        <w:rPr>
          <w:b/>
          <w:color w:val="943634" w:themeColor="accent2" w:themeShade="BF"/>
        </w:rPr>
        <w:t xml:space="preserve"> OASD is required to record and enforce a Lunch Charge Policy in conjunct</w:t>
      </w:r>
      <w:r w:rsidR="009376F7">
        <w:rPr>
          <w:b/>
          <w:color w:val="943634" w:themeColor="accent2" w:themeShade="BF"/>
        </w:rPr>
        <w:t>ion with a Collection of unpaid student debt in cafeteria accounts.</w:t>
      </w:r>
    </w:p>
    <w:p w:rsidR="00FD4AF9" w:rsidRDefault="00FD4AF9" w:rsidP="00A008B9">
      <w:pPr>
        <w:spacing w:line="240" w:lineRule="auto"/>
        <w:rPr>
          <w:b/>
          <w:color w:val="943634" w:themeColor="accent2" w:themeShade="BF"/>
        </w:rPr>
      </w:pPr>
    </w:p>
    <w:p w:rsidR="00FD4AF9" w:rsidRDefault="00FD4AF9" w:rsidP="00A008B9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*The cafeteria will NOT deny any student a meal </w:t>
      </w:r>
      <w:r w:rsidR="0014215A">
        <w:rPr>
          <w:b/>
          <w:color w:val="943634" w:themeColor="accent2" w:themeShade="BF"/>
        </w:rPr>
        <w:t>that</w:t>
      </w:r>
      <w:r>
        <w:rPr>
          <w:b/>
          <w:color w:val="943634" w:themeColor="accent2" w:themeShade="BF"/>
        </w:rPr>
        <w:t xml:space="preserve"> has a past-due account when the student is prepaying or pays on a daily basis.  </w:t>
      </w:r>
      <w:r w:rsidR="0014215A">
        <w:rPr>
          <w:b/>
          <w:color w:val="943634" w:themeColor="accent2" w:themeShade="BF"/>
        </w:rPr>
        <w:t>We encourage the use of our online payment system for payment and</w:t>
      </w:r>
      <w:r w:rsidR="00DA2D51">
        <w:rPr>
          <w:b/>
          <w:color w:val="943634" w:themeColor="accent2" w:themeShade="BF"/>
        </w:rPr>
        <w:t xml:space="preserve"> or</w:t>
      </w:r>
      <w:r w:rsidR="0014215A">
        <w:rPr>
          <w:b/>
          <w:color w:val="943634" w:themeColor="accent2" w:themeShade="BF"/>
        </w:rPr>
        <w:t xml:space="preserve"> tracking your students account balance.</w:t>
      </w:r>
      <w:r w:rsidR="00DA2D51">
        <w:rPr>
          <w:b/>
          <w:color w:val="943634" w:themeColor="accent2" w:themeShade="BF"/>
        </w:rPr>
        <w:t xml:space="preserve">  </w:t>
      </w:r>
    </w:p>
    <w:p w:rsidR="0014215A" w:rsidRDefault="0014215A" w:rsidP="00941883">
      <w:pPr>
        <w:spacing w:line="240" w:lineRule="auto"/>
        <w:rPr>
          <w:b/>
          <w:color w:val="943634" w:themeColor="accent2" w:themeShade="BF"/>
        </w:rPr>
      </w:pPr>
    </w:p>
    <w:p w:rsidR="00DA2D51" w:rsidRDefault="009376F7" w:rsidP="00DA2D51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*</w:t>
      </w:r>
      <w:r w:rsidRPr="009376F7">
        <w:rPr>
          <w:b/>
          <w:color w:val="943634" w:themeColor="accent2" w:themeShade="BF"/>
        </w:rPr>
        <w:t xml:space="preserve">All Children will be allowed to eat in the cafeteria regardless of their ability to pay on a specific day.  If a child cannot pay they will be provided a meal (Entrée, Fruit or Veg and </w:t>
      </w:r>
      <w:r w:rsidR="00DA2D51" w:rsidRPr="009376F7">
        <w:rPr>
          <w:b/>
          <w:color w:val="943634" w:themeColor="accent2" w:themeShade="BF"/>
        </w:rPr>
        <w:t>milk</w:t>
      </w:r>
      <w:r w:rsidRPr="009376F7">
        <w:rPr>
          <w:b/>
          <w:color w:val="943634" w:themeColor="accent2" w:themeShade="BF"/>
        </w:rPr>
        <w:t>). The account will still be charged and parents/guardians will still be responsible for the full cost of that meal.  We ask in return for prompt repayment of your child account.</w:t>
      </w:r>
    </w:p>
    <w:p w:rsidR="00DA2D51" w:rsidRPr="00DA2D51" w:rsidRDefault="00DA2D51" w:rsidP="00DA2D51">
      <w:pPr>
        <w:spacing w:line="240" w:lineRule="auto"/>
        <w:rPr>
          <w:b/>
          <w:color w:val="943634" w:themeColor="accent2" w:themeShade="BF"/>
        </w:rPr>
      </w:pPr>
    </w:p>
    <w:p w:rsidR="009376F7" w:rsidRDefault="009376F7" w:rsidP="009376F7">
      <w:pPr>
        <w:pStyle w:val="ListParagraph"/>
        <w:numPr>
          <w:ilvl w:val="0"/>
          <w:numId w:val="11"/>
        </w:num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A la carte purchases will be suspended (snacks, drinks, etc.) until the account is current.</w:t>
      </w:r>
    </w:p>
    <w:p w:rsidR="009376F7" w:rsidRPr="009376F7" w:rsidRDefault="00C272B7" w:rsidP="009376F7">
      <w:pPr>
        <w:pStyle w:val="ListParagraph"/>
        <w:numPr>
          <w:ilvl w:val="0"/>
          <w:numId w:val="11"/>
        </w:num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Breakfast purchases will be limited to a Breakfast meal,</w:t>
      </w:r>
      <w:bookmarkStart w:id="0" w:name="_GoBack"/>
      <w:bookmarkEnd w:id="0"/>
      <w:r>
        <w:rPr>
          <w:b/>
          <w:color w:val="943634" w:themeColor="accent2" w:themeShade="BF"/>
        </w:rPr>
        <w:t xml:space="preserve"> A La Carte purchases will be suspended during breakfast.</w:t>
      </w:r>
    </w:p>
    <w:p w:rsidR="009376F7" w:rsidRDefault="009376F7" w:rsidP="00BB00AB">
      <w:pPr>
        <w:spacing w:line="240" w:lineRule="auto"/>
        <w:rPr>
          <w:b/>
          <w:color w:val="943634" w:themeColor="accent2" w:themeShade="BF"/>
        </w:rPr>
      </w:pPr>
    </w:p>
    <w:p w:rsidR="00AF53CC" w:rsidRPr="00BB00AB" w:rsidRDefault="00AF53CC" w:rsidP="00BB00AB">
      <w:pPr>
        <w:spacing w:line="240" w:lineRule="auto"/>
        <w:rPr>
          <w:b/>
          <w:color w:val="943634" w:themeColor="accent2" w:themeShade="BF"/>
        </w:rPr>
      </w:pPr>
      <w:r w:rsidRPr="00BB00AB">
        <w:rPr>
          <w:b/>
          <w:color w:val="943634" w:themeColor="accent2" w:themeShade="BF"/>
        </w:rPr>
        <w:t xml:space="preserve">Nonpayment of a student’s negative account balance may result in your child’s ability to be part of extracurricular activities, clubs, </w:t>
      </w:r>
      <w:r w:rsidR="00DA2D51" w:rsidRPr="00BB00AB">
        <w:rPr>
          <w:b/>
          <w:color w:val="943634" w:themeColor="accent2" w:themeShade="BF"/>
        </w:rPr>
        <w:t>and field</w:t>
      </w:r>
      <w:r w:rsidRPr="00BB00AB">
        <w:rPr>
          <w:b/>
          <w:color w:val="943634" w:themeColor="accent2" w:themeShade="BF"/>
        </w:rPr>
        <w:t xml:space="preserve"> trips not r</w:t>
      </w:r>
      <w:r w:rsidR="009376F7">
        <w:rPr>
          <w:b/>
          <w:color w:val="943634" w:themeColor="accent2" w:themeShade="BF"/>
        </w:rPr>
        <w:t>elating to a classroom exercise.</w:t>
      </w:r>
    </w:p>
    <w:p w:rsid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507050" w:rsidRDefault="00507050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Please note that negative balance may have</w:t>
      </w:r>
      <w:r w:rsidR="009376F7">
        <w:rPr>
          <w:b/>
          <w:color w:val="943634" w:themeColor="accent2" w:themeShade="BF"/>
        </w:rPr>
        <w:t xml:space="preserve"> bee</w:t>
      </w:r>
      <w:r w:rsidR="004F7A2C">
        <w:rPr>
          <w:b/>
          <w:color w:val="943634" w:themeColor="accent2" w:themeShade="BF"/>
        </w:rPr>
        <w:t>n</w:t>
      </w:r>
      <w:r>
        <w:rPr>
          <w:b/>
          <w:color w:val="943634" w:themeColor="accent2" w:themeShade="BF"/>
        </w:rPr>
        <w:t xml:space="preserve"> carried over from previous years or incurred while waiting approval for free or reduced lunch.  You are still responsible for this balance.</w:t>
      </w:r>
    </w:p>
    <w:p w:rsid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If you are having financial difficulties and feel you may qualify for free or reduced price lunch applications are available on our website (</w:t>
      </w:r>
      <w:hyperlink r:id="rId8" w:history="1">
        <w:r w:rsidRPr="00B77F6A">
          <w:rPr>
            <w:rStyle w:val="Hyperlink"/>
            <w:b/>
          </w:rPr>
          <w:t>www.Oxfordasd.org</w:t>
        </w:r>
      </w:hyperlink>
      <w:r>
        <w:rPr>
          <w:b/>
          <w:color w:val="943634" w:themeColor="accent2" w:themeShade="BF"/>
        </w:rPr>
        <w:t>) and available in the cafeteria.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Your child may bring lunch from home at anytime.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If you have any questions about any or need to make </w:t>
      </w:r>
      <w:r w:rsidR="00DA2D51">
        <w:rPr>
          <w:b/>
          <w:color w:val="943634" w:themeColor="accent2" w:themeShade="BF"/>
        </w:rPr>
        <w:t xml:space="preserve">payment </w:t>
      </w:r>
      <w:r>
        <w:rPr>
          <w:b/>
          <w:color w:val="943634" w:themeColor="accent2" w:themeShade="BF"/>
        </w:rPr>
        <w:t>arrangements please feel free to contact the Food service office at anytime.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Alison Weir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Food Service Director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484-365-6027</w:t>
      </w:r>
    </w:p>
    <w:p w:rsidR="00BB00AB" w:rsidRDefault="00BB00AB" w:rsidP="00507050">
      <w:pPr>
        <w:spacing w:line="240" w:lineRule="auto"/>
        <w:rPr>
          <w:b/>
          <w:color w:val="943634" w:themeColor="accent2" w:themeShade="BF"/>
        </w:rPr>
      </w:pPr>
    </w:p>
    <w:p w:rsidR="00507050" w:rsidRP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507050" w:rsidRPr="00507050" w:rsidRDefault="00507050" w:rsidP="00507050">
      <w:pPr>
        <w:spacing w:line="240" w:lineRule="auto"/>
        <w:rPr>
          <w:b/>
          <w:color w:val="943634" w:themeColor="accent2" w:themeShade="BF"/>
        </w:rPr>
      </w:pPr>
    </w:p>
    <w:p w:rsidR="00AF53CC" w:rsidRDefault="00AF53CC" w:rsidP="00AF53CC">
      <w:pPr>
        <w:ind w:left="360"/>
      </w:pPr>
    </w:p>
    <w:p w:rsidR="00AF53CC" w:rsidRPr="00AF53CC" w:rsidRDefault="00AF53CC" w:rsidP="00AF53CC">
      <w:pPr>
        <w:spacing w:line="240" w:lineRule="auto"/>
        <w:ind w:left="360"/>
        <w:rPr>
          <w:b/>
          <w:color w:val="943634" w:themeColor="accent2" w:themeShade="BF"/>
        </w:rPr>
      </w:pPr>
    </w:p>
    <w:p w:rsidR="00AF53CC" w:rsidRDefault="00AF53CC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Default="00AF53CC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Default="00AF53CC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Default="00AF53CC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Pr="00AF53CC" w:rsidRDefault="00AF53CC" w:rsidP="00AF53CC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Default="00AF53CC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AF53CC" w:rsidRDefault="00AF53CC" w:rsidP="00AF53CC">
      <w:pPr>
        <w:spacing w:line="240" w:lineRule="auto"/>
        <w:ind w:left="2880"/>
        <w:rPr>
          <w:b/>
          <w:color w:val="943634" w:themeColor="accent2" w:themeShade="BF"/>
        </w:rPr>
      </w:pPr>
    </w:p>
    <w:p w:rsidR="00941883" w:rsidRDefault="00941883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941883" w:rsidRPr="00941883" w:rsidRDefault="00941883" w:rsidP="00941883">
      <w:pPr>
        <w:spacing w:line="240" w:lineRule="auto"/>
        <w:ind w:left="2880"/>
        <w:rPr>
          <w:b/>
          <w:color w:val="943634" w:themeColor="accent2" w:themeShade="BF"/>
        </w:rPr>
      </w:pPr>
    </w:p>
    <w:p w:rsidR="00941883" w:rsidRDefault="00941883" w:rsidP="00941883">
      <w:pPr>
        <w:pStyle w:val="ListParagraph"/>
        <w:spacing w:line="240" w:lineRule="auto"/>
        <w:ind w:left="2205" w:firstLine="675"/>
        <w:rPr>
          <w:b/>
          <w:color w:val="943634" w:themeColor="accent2" w:themeShade="BF"/>
        </w:rPr>
      </w:pPr>
    </w:p>
    <w:p w:rsidR="00941883" w:rsidRDefault="00941883" w:rsidP="00941883">
      <w:pPr>
        <w:pStyle w:val="ListParagraph"/>
        <w:spacing w:line="240" w:lineRule="auto"/>
        <w:ind w:left="2205" w:firstLine="675"/>
        <w:rPr>
          <w:b/>
          <w:color w:val="943634" w:themeColor="accent2" w:themeShade="BF"/>
        </w:rPr>
      </w:pPr>
    </w:p>
    <w:p w:rsidR="00941883" w:rsidRPr="00941883" w:rsidRDefault="00941883" w:rsidP="00941883">
      <w:pPr>
        <w:spacing w:line="240" w:lineRule="auto"/>
        <w:ind w:left="2160"/>
        <w:rPr>
          <w:b/>
          <w:color w:val="943634" w:themeColor="accent2" w:themeShade="BF"/>
        </w:rPr>
      </w:pPr>
    </w:p>
    <w:p w:rsidR="00941883" w:rsidRDefault="00941883" w:rsidP="00941883">
      <w:pPr>
        <w:pStyle w:val="ListParagraph"/>
        <w:spacing w:line="240" w:lineRule="auto"/>
        <w:ind w:left="2205"/>
        <w:rPr>
          <w:b/>
          <w:color w:val="943634" w:themeColor="accent2" w:themeShade="BF"/>
        </w:rPr>
      </w:pPr>
    </w:p>
    <w:p w:rsidR="0014215A" w:rsidRPr="0014215A" w:rsidRDefault="0014215A" w:rsidP="0014215A">
      <w:pPr>
        <w:spacing w:line="240" w:lineRule="auto"/>
        <w:rPr>
          <w:b/>
          <w:color w:val="943634" w:themeColor="accent2" w:themeShade="BF"/>
        </w:rPr>
      </w:pPr>
    </w:p>
    <w:sectPr w:rsidR="0014215A" w:rsidRPr="0014215A" w:rsidSect="001818D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51" w:rsidRDefault="00DA2D51" w:rsidP="001D2499">
      <w:pPr>
        <w:spacing w:line="240" w:lineRule="auto"/>
      </w:pPr>
      <w:r>
        <w:separator/>
      </w:r>
    </w:p>
  </w:endnote>
  <w:endnote w:type="continuationSeparator" w:id="0">
    <w:p w:rsidR="00DA2D51" w:rsidRDefault="00DA2D51" w:rsidP="001D2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1" w:rsidRDefault="00DA2D51" w:rsidP="00DD6E0E">
    <w:pPr>
      <w:pStyle w:val="Footer"/>
      <w:spacing w:after="160"/>
      <w:rPr>
        <w:rFonts w:ascii="Arial" w:hAnsi="Arial" w:cs="Arial"/>
        <w:sz w:val="14"/>
        <w:szCs w:val="14"/>
      </w:rPr>
    </w:pPr>
  </w:p>
  <w:p w:rsidR="00DA2D51" w:rsidRDefault="00DA2D51" w:rsidP="00C76CE5">
    <w:pPr>
      <w:pStyle w:val="Footer"/>
      <w:jc w:val="center"/>
      <w:rPr>
        <w:b/>
        <w:noProof/>
        <w:color w:val="943634" w:themeColor="accent2" w:themeShade="BF"/>
      </w:rPr>
    </w:pPr>
    <w:r>
      <w:rPr>
        <w:b/>
        <w:noProof/>
        <w:color w:val="943634" w:themeColor="accent2" w:themeShade="BF"/>
      </w:rPr>
      <w:t>125 Bell Tower Lane</w:t>
    </w:r>
    <w:r w:rsidRPr="00C76CE5">
      <w:rPr>
        <w:b/>
        <w:noProof/>
        <w:color w:val="943634" w:themeColor="accent2" w:themeShade="BF"/>
      </w:rPr>
      <w:t xml:space="preserve">, Oxford PA 19363 </w:t>
    </w:r>
    <w:r>
      <w:rPr>
        <w:b/>
        <w:noProof/>
        <w:color w:val="943634" w:themeColor="accent2" w:themeShade="BF"/>
      </w:rPr>
      <w:t>P: 610-610-932-6660 F: 610-932-6614</w:t>
    </w:r>
  </w:p>
  <w:p w:rsidR="00DA2D51" w:rsidRPr="00C76CE5" w:rsidRDefault="00DA2D51" w:rsidP="00C76CE5">
    <w:pPr>
      <w:pStyle w:val="Footer"/>
      <w:jc w:val="center"/>
      <w:rPr>
        <w:b/>
        <w:color w:val="943634" w:themeColor="accent2" w:themeShade="BF"/>
      </w:rPr>
    </w:pPr>
    <w:r>
      <w:rPr>
        <w:b/>
        <w:noProof/>
        <w:color w:val="943634" w:themeColor="accent2" w:themeShade="BF"/>
      </w:rPr>
      <w:t>www.oxfordasd.org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51" w:rsidRDefault="00DA2D51" w:rsidP="001D2499">
      <w:pPr>
        <w:spacing w:line="240" w:lineRule="auto"/>
      </w:pPr>
      <w:r>
        <w:separator/>
      </w:r>
    </w:p>
  </w:footnote>
  <w:footnote w:type="continuationSeparator" w:id="0">
    <w:p w:rsidR="00DA2D51" w:rsidRDefault="00DA2D51" w:rsidP="001D2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1" w:rsidRDefault="00C27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08959" o:spid="_x0000_s2050" type="#_x0000_t75" style="position:absolute;margin-left:0;margin-top:0;width:422.45pt;height:232.95pt;z-index:-251657216;mso-position-horizontal:center;mso-position-horizontal-relative:margin;mso-position-vertical:center;mso-position-vertical-relative:margin" o:allowincell="f">
          <v:imagedata r:id="rId1" o:title="OASDlogo_straightPMS19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1" w:rsidRPr="00C76CE5" w:rsidRDefault="00C272B7" w:rsidP="00DD6E0E">
    <w:pPr>
      <w:pStyle w:val="Header"/>
      <w:jc w:val="center"/>
      <w:rPr>
        <w:b/>
        <w:color w:val="943634" w:themeColor="accent2" w:themeShade="BF"/>
        <w:sz w:val="56"/>
        <w:szCs w:val="56"/>
      </w:rPr>
    </w:pPr>
    <w:r>
      <w:rPr>
        <w:b/>
        <w:noProof/>
        <w:color w:val="943634" w:themeColor="accent2" w:themeShade="BF"/>
        <w:sz w:val="56"/>
        <w:szCs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08960" o:spid="_x0000_s2051" type="#_x0000_t75" style="position:absolute;left:0;text-align:left;margin-left:0;margin-top:0;width:422.45pt;height:232.95pt;z-index:-251656192;mso-position-horizontal:center;mso-position-horizontal-relative:margin;mso-position-vertical:center;mso-position-vertical-relative:margin" o:allowincell="f">
          <v:imagedata r:id="rId1" o:title="OASDlogo_straightPMS195" gain="19661f" blacklevel="22938f"/>
          <w10:wrap anchorx="margin" anchory="margin"/>
        </v:shape>
      </w:pict>
    </w:r>
    <w:r w:rsidR="00DA2D51" w:rsidRPr="00C76CE5">
      <w:rPr>
        <w:b/>
        <w:color w:val="943634" w:themeColor="accent2" w:themeShade="BF"/>
        <w:sz w:val="56"/>
        <w:szCs w:val="56"/>
      </w:rPr>
      <w:t>Oxford Area School District</w:t>
    </w:r>
  </w:p>
  <w:p w:rsidR="00DA2D51" w:rsidRPr="00C76CE5" w:rsidRDefault="00DA2D51" w:rsidP="00DD6E0E">
    <w:pPr>
      <w:pStyle w:val="Header"/>
      <w:jc w:val="center"/>
      <w:rPr>
        <w:i/>
        <w:color w:val="943634" w:themeColor="accent2" w:themeShade="BF"/>
        <w:sz w:val="40"/>
        <w:szCs w:val="40"/>
      </w:rPr>
    </w:pPr>
    <w:r>
      <w:rPr>
        <w:b/>
        <w:i/>
        <w:color w:val="943634" w:themeColor="accent2" w:themeShade="BF"/>
        <w:sz w:val="40"/>
        <w:szCs w:val="40"/>
      </w:rPr>
      <w:t>Food Service</w:t>
    </w:r>
  </w:p>
  <w:p w:rsidR="00DA2D51" w:rsidRDefault="00DA2D51" w:rsidP="00C65000">
    <w:pPr>
      <w:pStyle w:val="Header"/>
      <w:tabs>
        <w:tab w:val="left" w:pos="3780"/>
        <w:tab w:val="left" w:pos="6840"/>
      </w:tabs>
      <w:ind w:firstLine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David A. Woods</w:t>
    </w:r>
    <w:r>
      <w:rPr>
        <w:rFonts w:ascii="Times New Roman" w:hAnsi="Times New Roman" w:cs="Times New Roman"/>
        <w:sz w:val="20"/>
        <w:szCs w:val="20"/>
      </w:rPr>
      <w:tab/>
      <w:t>Brian Cooney</w:t>
    </w:r>
    <w:r>
      <w:rPr>
        <w:rFonts w:ascii="Times New Roman" w:hAnsi="Times New Roman" w:cs="Times New Roman"/>
        <w:sz w:val="20"/>
        <w:szCs w:val="20"/>
      </w:rPr>
      <w:tab/>
      <w:t>Margaret Billings-Jones, Ed.D.</w:t>
    </w:r>
  </w:p>
  <w:p w:rsidR="00DA2D51" w:rsidRDefault="00DA2D51" w:rsidP="00270E21">
    <w:pPr>
      <w:pStyle w:val="Header"/>
      <w:tabs>
        <w:tab w:val="left" w:pos="3780"/>
        <w:tab w:val="left" w:pos="6840"/>
      </w:tabs>
      <w:ind w:lef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Superintendent</w:t>
    </w:r>
    <w:r>
      <w:rPr>
        <w:rFonts w:ascii="Times New Roman" w:hAnsi="Times New Roman" w:cs="Times New Roman"/>
        <w:sz w:val="20"/>
        <w:szCs w:val="20"/>
      </w:rPr>
      <w:tab/>
      <w:t>Business Administrator</w:t>
    </w:r>
    <w:r>
      <w:rPr>
        <w:rFonts w:ascii="Times New Roman" w:hAnsi="Times New Roman" w:cs="Times New Roman"/>
        <w:sz w:val="20"/>
        <w:szCs w:val="20"/>
      </w:rPr>
      <w:tab/>
      <w:t>Assistant Superintendent</w:t>
    </w:r>
  </w:p>
  <w:p w:rsidR="00DA2D51" w:rsidRPr="00016A43" w:rsidRDefault="00DA2D51" w:rsidP="00270E21">
    <w:pPr>
      <w:pStyle w:val="Header"/>
      <w:tabs>
        <w:tab w:val="left" w:pos="3780"/>
        <w:tab w:val="left" w:pos="6840"/>
      </w:tabs>
      <w:ind w:left="360"/>
      <w:rPr>
        <w:rFonts w:ascii="Times New Roman" w:hAnsi="Times New Roman" w:cs="Times New Roman"/>
        <w:sz w:val="16"/>
        <w:szCs w:val="16"/>
      </w:rPr>
    </w:pPr>
  </w:p>
  <w:p w:rsidR="00DA2D51" w:rsidRDefault="00DA2D51" w:rsidP="00016A43">
    <w:pPr>
      <w:pStyle w:val="Header"/>
      <w:tabs>
        <w:tab w:val="left" w:pos="3780"/>
        <w:tab w:val="left" w:pos="6570"/>
      </w:tabs>
      <w:ind w:left="3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Alison Weir, Director of Food Service</w:t>
    </w:r>
  </w:p>
  <w:p w:rsidR="00DA2D51" w:rsidRPr="00620006" w:rsidRDefault="00C272B7" w:rsidP="00620006">
    <w:pPr>
      <w:pStyle w:val="Header"/>
      <w:tabs>
        <w:tab w:val="left" w:pos="3780"/>
      </w:tabs>
      <w:jc w:val="center"/>
      <w:rPr>
        <w:rFonts w:ascii="Times New Roman" w:hAnsi="Times New Roman" w:cs="Times New Roman"/>
        <w:color w:val="943634" w:themeColor="accent2" w:themeShade="BF"/>
        <w:sz w:val="20"/>
        <w:szCs w:val="20"/>
      </w:rPr>
    </w:pPr>
    <w:r>
      <w:rPr>
        <w:rFonts w:ascii="Times New Roman" w:hAnsi="Times New Roman" w:cs="Times New Roman"/>
        <w:color w:val="943634" w:themeColor="accent2" w:themeShade="BF"/>
        <w:sz w:val="20"/>
        <w:szCs w:val="20"/>
      </w:rPr>
      <w:pict>
        <v:rect id="_x0000_i1025" style="width:462.85pt;height:1.5pt" o:hrpct="989" o:hralign="center" o:hrstd="t" o:hrnoshade="t" o:hr="t" fillcolor="#943634 [24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1" w:rsidRDefault="00C27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08958" o:spid="_x0000_s2049" type="#_x0000_t75" style="position:absolute;margin-left:0;margin-top:0;width:422.45pt;height:232.95pt;z-index:-251658240;mso-position-horizontal:center;mso-position-horizontal-relative:margin;mso-position-vertical:center;mso-position-vertical-relative:margin" o:allowincell="f">
          <v:imagedata r:id="rId1" o:title="OASDlogo_straightPMS19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19A"/>
    <w:multiLevelType w:val="hybridMultilevel"/>
    <w:tmpl w:val="7BB8A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93C"/>
    <w:multiLevelType w:val="hybridMultilevel"/>
    <w:tmpl w:val="0782536E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B0E2544"/>
    <w:multiLevelType w:val="hybridMultilevel"/>
    <w:tmpl w:val="B8F0637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63E41B9"/>
    <w:multiLevelType w:val="hybridMultilevel"/>
    <w:tmpl w:val="21425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75C95"/>
    <w:multiLevelType w:val="hybridMultilevel"/>
    <w:tmpl w:val="0B5ACF1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7FB7FD3"/>
    <w:multiLevelType w:val="hybridMultilevel"/>
    <w:tmpl w:val="1566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07244"/>
    <w:multiLevelType w:val="hybridMultilevel"/>
    <w:tmpl w:val="1F241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836F8"/>
    <w:multiLevelType w:val="hybridMultilevel"/>
    <w:tmpl w:val="24A680B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7444164D"/>
    <w:multiLevelType w:val="hybridMultilevel"/>
    <w:tmpl w:val="5810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16D"/>
    <w:multiLevelType w:val="hybridMultilevel"/>
    <w:tmpl w:val="6BC2923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FEF539F"/>
    <w:multiLevelType w:val="hybridMultilevel"/>
    <w:tmpl w:val="7062E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99"/>
    <w:rsid w:val="00016A43"/>
    <w:rsid w:val="0004365F"/>
    <w:rsid w:val="000B3E08"/>
    <w:rsid w:val="000C3BE0"/>
    <w:rsid w:val="000D5156"/>
    <w:rsid w:val="000D66CF"/>
    <w:rsid w:val="00122098"/>
    <w:rsid w:val="00141439"/>
    <w:rsid w:val="0014215A"/>
    <w:rsid w:val="00171D9D"/>
    <w:rsid w:val="0018035E"/>
    <w:rsid w:val="001807F4"/>
    <w:rsid w:val="001818DB"/>
    <w:rsid w:val="001D2499"/>
    <w:rsid w:val="001E11CD"/>
    <w:rsid w:val="001F5F86"/>
    <w:rsid w:val="00230F1B"/>
    <w:rsid w:val="00262CAE"/>
    <w:rsid w:val="00270E21"/>
    <w:rsid w:val="0030493B"/>
    <w:rsid w:val="00322D86"/>
    <w:rsid w:val="0035070E"/>
    <w:rsid w:val="00361F37"/>
    <w:rsid w:val="003B6F91"/>
    <w:rsid w:val="00400FCE"/>
    <w:rsid w:val="00413BEE"/>
    <w:rsid w:val="00421C73"/>
    <w:rsid w:val="00431D26"/>
    <w:rsid w:val="00457378"/>
    <w:rsid w:val="0046427A"/>
    <w:rsid w:val="00465CBE"/>
    <w:rsid w:val="004F7A2C"/>
    <w:rsid w:val="00507050"/>
    <w:rsid w:val="0051385E"/>
    <w:rsid w:val="00526CF4"/>
    <w:rsid w:val="00542CDB"/>
    <w:rsid w:val="00582E03"/>
    <w:rsid w:val="005B0F8B"/>
    <w:rsid w:val="006132F8"/>
    <w:rsid w:val="00620006"/>
    <w:rsid w:val="006739B1"/>
    <w:rsid w:val="00697CA0"/>
    <w:rsid w:val="006A2F5F"/>
    <w:rsid w:val="006B39F2"/>
    <w:rsid w:val="006C25CD"/>
    <w:rsid w:val="006E6D31"/>
    <w:rsid w:val="006F0F3E"/>
    <w:rsid w:val="007039D4"/>
    <w:rsid w:val="00786F4F"/>
    <w:rsid w:val="007A1F24"/>
    <w:rsid w:val="007D1A3E"/>
    <w:rsid w:val="00825F02"/>
    <w:rsid w:val="008613A5"/>
    <w:rsid w:val="00887D91"/>
    <w:rsid w:val="0089537C"/>
    <w:rsid w:val="00907BE7"/>
    <w:rsid w:val="0091781B"/>
    <w:rsid w:val="009376F7"/>
    <w:rsid w:val="00941883"/>
    <w:rsid w:val="00A008B9"/>
    <w:rsid w:val="00A20355"/>
    <w:rsid w:val="00A21455"/>
    <w:rsid w:val="00A30306"/>
    <w:rsid w:val="00A33DAA"/>
    <w:rsid w:val="00A568A5"/>
    <w:rsid w:val="00A74E91"/>
    <w:rsid w:val="00A76A4A"/>
    <w:rsid w:val="00AE09C6"/>
    <w:rsid w:val="00AF53CC"/>
    <w:rsid w:val="00B33DFE"/>
    <w:rsid w:val="00B34A5D"/>
    <w:rsid w:val="00B40913"/>
    <w:rsid w:val="00B5365F"/>
    <w:rsid w:val="00B93C65"/>
    <w:rsid w:val="00BB00AB"/>
    <w:rsid w:val="00BF4B33"/>
    <w:rsid w:val="00C170B2"/>
    <w:rsid w:val="00C272B7"/>
    <w:rsid w:val="00C65000"/>
    <w:rsid w:val="00C73041"/>
    <w:rsid w:val="00C76CE5"/>
    <w:rsid w:val="00C87597"/>
    <w:rsid w:val="00CC33ED"/>
    <w:rsid w:val="00CD4247"/>
    <w:rsid w:val="00D4066F"/>
    <w:rsid w:val="00DA2D51"/>
    <w:rsid w:val="00DD1DCB"/>
    <w:rsid w:val="00DD6E0E"/>
    <w:rsid w:val="00DE26BE"/>
    <w:rsid w:val="00DE34AC"/>
    <w:rsid w:val="00DE3C2A"/>
    <w:rsid w:val="00E860BF"/>
    <w:rsid w:val="00F02B9C"/>
    <w:rsid w:val="00FB4012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E"/>
    <w:pPr>
      <w:spacing w:after="0" w:line="300" w:lineRule="exact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9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D2499"/>
  </w:style>
  <w:style w:type="paragraph" w:styleId="Footer">
    <w:name w:val="footer"/>
    <w:basedOn w:val="Normal"/>
    <w:link w:val="FooterChar"/>
    <w:uiPriority w:val="99"/>
    <w:unhideWhenUsed/>
    <w:rsid w:val="001D249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D2499"/>
  </w:style>
  <w:style w:type="paragraph" w:styleId="BalloonText">
    <w:name w:val="Balloon Text"/>
    <w:basedOn w:val="Normal"/>
    <w:link w:val="BalloonTextChar"/>
    <w:uiPriority w:val="99"/>
    <w:semiHidden/>
    <w:unhideWhenUsed/>
    <w:rsid w:val="00DD6E0E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asd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dwoods</dc:creator>
  <cp:lastModifiedBy>Weir, Alison</cp:lastModifiedBy>
  <cp:revision>4</cp:revision>
  <cp:lastPrinted>2017-04-28T12:51:00Z</cp:lastPrinted>
  <dcterms:created xsi:type="dcterms:W3CDTF">2017-04-24T14:25:00Z</dcterms:created>
  <dcterms:modified xsi:type="dcterms:W3CDTF">2019-03-04T20:24:00Z</dcterms:modified>
</cp:coreProperties>
</file>